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9C" w:rsidRPr="006A0C9C" w:rsidRDefault="001B7E9C" w:rsidP="001B7E9C">
      <w:pPr>
        <w:jc w:val="center"/>
        <w:rPr>
          <w:rFonts w:ascii="Times New Roman" w:eastAsia="Times New Roman" w:hAnsi="Times New Roman" w:cs="Times New Roman"/>
          <w:lang w:val="uk-UA"/>
        </w:rPr>
      </w:pPr>
      <w:bookmarkStart w:id="0" w:name="_GoBack"/>
      <w:bookmarkEnd w:id="0"/>
      <w:r w:rsidRPr="006A0C9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D3755F4" wp14:editId="1EE93022">
            <wp:extent cx="607060" cy="6889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E9C" w:rsidRPr="006A0C9C" w:rsidRDefault="001B7E9C" w:rsidP="001B7E9C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6A0C9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АНТИМОНОПОЛЬНИЙ   КОМІТЕТ   УКРАЇНИ</w:t>
      </w:r>
    </w:p>
    <w:p w:rsidR="001B7E9C" w:rsidRPr="006A0C9C" w:rsidRDefault="001B7E9C" w:rsidP="001B7E9C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1B7E9C" w:rsidRPr="006A0C9C" w:rsidRDefault="006D73D5" w:rsidP="001B7E9C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ДОДАТКОВЕ </w:t>
      </w:r>
      <w:r w:rsidR="001B7E9C" w:rsidRPr="006A0C9C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p w:rsidR="001B7E9C" w:rsidRPr="006A0C9C" w:rsidRDefault="001B7E9C" w:rsidP="001B7E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1B7E9C" w:rsidRPr="006A0C9C" w:rsidRDefault="001B7E9C" w:rsidP="001B7E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1B7E9C" w:rsidRPr="006A0C9C" w:rsidRDefault="003A49A0" w:rsidP="001B7E9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01 квітня </w:t>
      </w:r>
      <w:r w:rsidR="00791EB0"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2021</w:t>
      </w:r>
      <w:r w:rsidR="001B7E9C"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р.                                    Київ                                                      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179-р</w:t>
      </w:r>
    </w:p>
    <w:p w:rsidR="001B7E9C" w:rsidRPr="006A0C9C" w:rsidRDefault="001B7E9C" w:rsidP="001B7E9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B7E9C" w:rsidRPr="006A0C9C" w:rsidRDefault="001B7E9C" w:rsidP="001B7E9C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B7E9C" w:rsidRPr="006A0C9C" w:rsidRDefault="001B7E9C" w:rsidP="001B7E9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 від 24.12.2020 № 810-р</w:t>
      </w:r>
    </w:p>
    <w:p w:rsidR="001B7E9C" w:rsidRPr="006A0C9C" w:rsidRDefault="001B7E9C" w:rsidP="001B7E9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B7E9C" w:rsidRPr="00AC212B" w:rsidRDefault="001B7E9C" w:rsidP="00AC21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ab/>
        <w:t>Антимонопольний комітет України</w:t>
      </w:r>
      <w:r w:rsidR="006717D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(далі – Комітет)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розглянувши матеріали справи № 128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>26.13/104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>19 про порушення Групою суб’єктів господарювання в особі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«Вінниця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Волиньгаз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Житомиргаз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Закарпатгаз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«Запоріж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«Київобл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Дніпрогаз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Дніпропетровськгаз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«Криворіж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«Львів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Миколаївгаз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Рівнегаз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Сумигаз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«Івано-Франківськ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Харківгаз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Харківміськгаз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Хмельницькгаз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», А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«Чернівці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Чернігівгаз</w:t>
      </w:r>
      <w:proofErr w:type="spellEnd"/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законодавства про захист економічної конкуренції, передбачене пунктом 2 статті 50 та частиною першою статті 13 Закону України «Про захист економічної конкуренції» та подання Департаменту досліджень і розслідувань ринків паливно-енергетичного комплексу та житлов</w:t>
      </w:r>
      <w:r w:rsidR="00C270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о-комунального господарства від 26.11.2020 № 128-26.13/104-19/561-спр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</w:t>
      </w:r>
    </w:p>
    <w:p w:rsidR="001B7E9C" w:rsidRPr="006A0C9C" w:rsidRDefault="001B7E9C" w:rsidP="001B7E9C">
      <w:pPr>
        <w:tabs>
          <w:tab w:val="left" w:pos="720"/>
        </w:tabs>
        <w:spacing w:before="120" w:after="120" w:line="240" w:lineRule="auto"/>
        <w:ind w:left="896" w:hanging="53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A0C9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ВСТАНОВИВ:</w:t>
      </w:r>
    </w:p>
    <w:p w:rsidR="006169BA" w:rsidRPr="00D674C4" w:rsidRDefault="006169BA" w:rsidP="00D674C4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результатами розгляду справи </w:t>
      </w:r>
      <w:r w:rsidR="00974C30"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128</w:t>
      </w:r>
      <w:r w:rsidR="00974C30"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>26.13/104</w:t>
      </w:r>
      <w:r w:rsidR="00974C30"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 xml:space="preserve">19 </w:t>
      </w:r>
      <w:r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Комітетом </w:t>
      </w:r>
      <w:r w:rsidR="00C6624D"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24.12.2020 </w:t>
      </w:r>
      <w:r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прийнято рішення № 810-р</w:t>
      </w:r>
      <w:r w:rsidR="00974C30"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(далі – Рішення)</w:t>
      </w:r>
      <w:r w:rsidRPr="00D674C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яким визнано дії Групи суб’єктів господарювання в особі </w:t>
      </w:r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акціонерного товариства «Оператор газорозподільної системи «</w:t>
      </w:r>
      <w:proofErr w:type="spellStart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Вінницягаз</w:t>
      </w:r>
      <w:proofErr w:type="spellEnd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Вінницягаз</w:t>
      </w:r>
      <w:proofErr w:type="spellEnd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</w:t>
      </w:r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од юридичної особи 03338649, м. </w:t>
      </w:r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Вінниця); акціонерного товариства «Оператор газорозподільної системи «</w:t>
      </w:r>
      <w:proofErr w:type="spellStart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Волиньгаз</w:t>
      </w:r>
      <w:proofErr w:type="spellEnd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–АТ «</w:t>
      </w:r>
      <w:proofErr w:type="spellStart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Волиньгаз</w:t>
      </w:r>
      <w:proofErr w:type="spellEnd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03339459, м. Луцьк); акціонерного товариства «Оператор газорозподільної системи «</w:t>
      </w:r>
      <w:proofErr w:type="spellStart"/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Жито</w:t>
      </w:r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Житомиргаз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="003A49A0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(ідентифікаційний код 03344071, м. Житомир);</w:t>
      </w:r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Закарпатгаз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«Закарпат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05448610, м. Ужгород);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Запоріжгаз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«Запоріж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03345716, м. Запоріжжя);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Київоблгаз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«Київобл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20578072, Київська обл., м. Боярка);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Дніпрогаз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Дніпрогаз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20262860, м. Дніпро);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Дніпропетровськгаз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«Дніпропетровськ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03340920, м. Дніпро);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Криворіжгаз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Криворіжгаз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03341397, Дніпропетровська обл., м. Кривий Ріг);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Миколаївгаз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Миколаївгаз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»,) (ідентифікаційний код 05410263, м. Миколаїв); акціонерного товариства «Оператор газорозподільної системи </w:t>
      </w:r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>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Рівнегаз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Рівнегаз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03366701, м. Рівне);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Сумигаз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«Суми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03352432, м. Суми);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Івано-Франківськгаз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Івано-Франківськгаз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») (ідентифікаційний код 03361046, м. 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Івано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Франківськ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Харківгаз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Харківгаз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03359500, м. Харків);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Харківміськгаз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«Харківміськ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03359552,  м. Харків);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Хмельницькгаз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«Хмельницьк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05395598, м. Хмельницький); 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Чернівцігаз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АТ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Чернівцігаз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») (ідентифікаційний код 03</w:t>
      </w:r>
      <w:r w:rsidR="006717D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336166, м. Чернівці); акціонерного товариства</w:t>
      </w:r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«Оператор газорозподільної системи «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Чернігівгаз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(далі – А</w:t>
      </w:r>
      <w:proofErr w:type="spellStart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 «Чернігів</w:t>
      </w:r>
      <w:proofErr w:type="spellEnd"/>
      <w:r w:rsidR="00D674C4" w:rsidRPr="00324141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газ») (ідентифікаційний код 03358104, м. Чернігів</w:t>
      </w:r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324141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D674C4">
        <w:rPr>
          <w:rFonts w:ascii="Times New Roman" w:hAnsi="Times New Roman"/>
          <w:sz w:val="24"/>
          <w:szCs w:val="24"/>
          <w:lang w:val="uk-UA" w:eastAsia="ru-RU"/>
        </w:rPr>
        <w:t xml:space="preserve"> що полягали у висуванні в період з 11.11.2016 по 10.07.2018 додаткових необґрунтованих вимог щодо обов’язкової наявності протоколу випробування з позитивними висновками за РМ 081/39.434-2014 для участі в закупівлях побутових лічильників газу з використанням електронної системи «</w:t>
      </w:r>
      <w:proofErr w:type="spellStart"/>
      <w:r w:rsidRPr="00D674C4">
        <w:rPr>
          <w:rFonts w:ascii="Times New Roman" w:hAnsi="Times New Roman"/>
          <w:sz w:val="24"/>
          <w:szCs w:val="24"/>
          <w:lang w:val="uk-UA" w:eastAsia="ru-RU"/>
        </w:rPr>
        <w:t>ProZorro</w:t>
      </w:r>
      <w:proofErr w:type="spellEnd"/>
      <w:r w:rsidRPr="00D674C4">
        <w:rPr>
          <w:rFonts w:ascii="Times New Roman" w:hAnsi="Times New Roman"/>
          <w:sz w:val="24"/>
          <w:szCs w:val="24"/>
          <w:lang w:val="uk-UA" w:eastAsia="ru-RU"/>
        </w:rPr>
        <w:t>», зловживанням монопольним (домінуючим) становищем на ринку послуги з розподілу природного газу в межах територій, де розташовані газорозподільні системи, що перебувають у їх власності, господарському віданні, користуванні чи експлуатації.</w:t>
      </w:r>
    </w:p>
    <w:p w:rsidR="006169BA" w:rsidRPr="006A0C9C" w:rsidRDefault="006169BA" w:rsidP="001B7E9C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eastAsia="Times New Roman" w:hAnsi="Times New Roman" w:cs="Times New Roman"/>
          <w:sz w:val="24"/>
          <w:szCs w:val="24"/>
          <w:lang w:val="uk-UA"/>
        </w:rPr>
        <w:t>За вчинен</w:t>
      </w:r>
      <w:r w:rsidR="006D73D5">
        <w:rPr>
          <w:rFonts w:ascii="Times New Roman" w:eastAsia="Times New Roman" w:hAnsi="Times New Roman" w:cs="Times New Roman"/>
          <w:sz w:val="24"/>
          <w:szCs w:val="24"/>
          <w:lang w:val="uk-UA"/>
        </w:rPr>
        <w:t>е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порушення на суб’єктів господарювання накладено штрафи у розмірах</w:t>
      </w:r>
      <w:r w:rsidR="00510A51" w:rsidRPr="006A0C9C">
        <w:rPr>
          <w:rFonts w:ascii="Times New Roman" w:eastAsia="Times New Roman" w:hAnsi="Times New Roman" w:cs="Times New Roman"/>
          <w:sz w:val="24"/>
          <w:szCs w:val="24"/>
          <w:lang w:val="uk-UA"/>
        </w:rPr>
        <w:t>, що зазначені у резолютивній частині Рішення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169BA" w:rsidRPr="00D674C4" w:rsidRDefault="006717D9" w:rsidP="00D674C4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Водночас</w:t>
      </w:r>
      <w:r w:rsidR="006169BA" w:rsidRPr="00D674C4">
        <w:rPr>
          <w:rFonts w:ascii="Times New Roman" w:hAnsi="Times New Roman"/>
          <w:sz w:val="24"/>
          <w:szCs w:val="24"/>
          <w:lang w:val="uk-UA" w:eastAsia="ru-RU"/>
        </w:rPr>
        <w:t xml:space="preserve">, </w:t>
      </w:r>
      <w:r w:rsidR="006601FB" w:rsidRPr="00D674C4">
        <w:rPr>
          <w:rFonts w:ascii="Times New Roman" w:hAnsi="Times New Roman"/>
          <w:sz w:val="24"/>
          <w:szCs w:val="24"/>
          <w:lang w:val="uk-UA" w:eastAsia="ru-RU"/>
        </w:rPr>
        <w:t>після направлення Відповідач</w:t>
      </w:r>
      <w:r w:rsidR="00CC403F" w:rsidRPr="00D674C4">
        <w:rPr>
          <w:rFonts w:ascii="Times New Roman" w:hAnsi="Times New Roman"/>
          <w:sz w:val="24"/>
          <w:szCs w:val="24"/>
          <w:lang w:val="uk-UA" w:eastAsia="ru-RU"/>
        </w:rPr>
        <w:t xml:space="preserve">ам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копії </w:t>
      </w:r>
      <w:r w:rsidR="00CC403F" w:rsidRPr="00D674C4">
        <w:rPr>
          <w:rFonts w:ascii="Times New Roman" w:hAnsi="Times New Roman"/>
          <w:sz w:val="24"/>
          <w:szCs w:val="24"/>
          <w:lang w:val="uk-UA" w:eastAsia="ru-RU"/>
        </w:rPr>
        <w:t>подання від 26.11.2020 № 128</w:t>
      </w:r>
      <w:r w:rsidR="00CC403F" w:rsidRPr="00D674C4">
        <w:rPr>
          <w:rFonts w:ascii="Times New Roman" w:hAnsi="Times New Roman"/>
          <w:sz w:val="24"/>
          <w:szCs w:val="24"/>
          <w:lang w:val="uk-UA" w:eastAsia="ru-RU"/>
        </w:rPr>
        <w:noBreakHyphen/>
      </w:r>
      <w:r w:rsidR="006601FB" w:rsidRPr="00D674C4">
        <w:rPr>
          <w:rFonts w:ascii="Times New Roman" w:hAnsi="Times New Roman"/>
          <w:sz w:val="24"/>
          <w:szCs w:val="24"/>
          <w:lang w:val="uk-UA" w:eastAsia="ru-RU"/>
        </w:rPr>
        <w:t xml:space="preserve">26.13/104-19/561-спр </w:t>
      </w:r>
      <w:r>
        <w:rPr>
          <w:rFonts w:ascii="Times New Roman" w:hAnsi="Times New Roman"/>
          <w:sz w:val="24"/>
          <w:szCs w:val="24"/>
          <w:lang w:val="uk-UA" w:eastAsia="ru-RU"/>
        </w:rPr>
        <w:t>з попередніми висновками</w:t>
      </w:r>
      <w:r w:rsidR="006601FB" w:rsidRPr="00D674C4">
        <w:rPr>
          <w:rFonts w:ascii="Times New Roman" w:hAnsi="Times New Roman"/>
          <w:sz w:val="24"/>
          <w:szCs w:val="24"/>
          <w:lang w:val="uk-UA" w:eastAsia="ru-RU"/>
        </w:rPr>
        <w:t xml:space="preserve"> у справі № 128-26.13/104-19 та до прийняття Рішення, представником </w:t>
      </w:r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акціонерного товариства «Оператор газорозподільної системи «</w:t>
      </w:r>
      <w:proofErr w:type="spellStart"/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Львівгаз</w:t>
      </w:r>
      <w:proofErr w:type="spellEnd"/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» (далі – АТ «</w:t>
      </w:r>
      <w:proofErr w:type="spellStart"/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Львівгаз</w:t>
      </w:r>
      <w:proofErr w:type="spellEnd"/>
      <w:r w:rsidR="00D674C4" w:rsidRPr="00324141">
        <w:rPr>
          <w:rFonts w:ascii="Times New Roman" w:hAnsi="Times New Roman"/>
          <w:sz w:val="24"/>
          <w:szCs w:val="24"/>
          <w:lang w:val="uk-UA" w:eastAsia="ru-RU"/>
        </w:rPr>
        <w:t>») (ідентифікаційний код 03349039, м. Львів)</w:t>
      </w:r>
      <w:r w:rsidR="00D674C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601FB" w:rsidRPr="00D674C4">
        <w:rPr>
          <w:rFonts w:ascii="Times New Roman" w:hAnsi="Times New Roman"/>
          <w:sz w:val="24"/>
          <w:szCs w:val="24"/>
          <w:lang w:val="uk-UA" w:eastAsia="ru-RU"/>
        </w:rPr>
        <w:t>було надано у</w:t>
      </w:r>
      <w:r w:rsidR="006169BA" w:rsidRPr="00D674C4">
        <w:rPr>
          <w:rFonts w:ascii="Times New Roman" w:hAnsi="Times New Roman"/>
          <w:sz w:val="24"/>
          <w:szCs w:val="24"/>
          <w:lang w:val="uk-UA" w:eastAsia="ru-RU"/>
        </w:rPr>
        <w:t>хвал</w:t>
      </w:r>
      <w:r w:rsidR="006601FB" w:rsidRPr="00D674C4">
        <w:rPr>
          <w:rFonts w:ascii="Times New Roman" w:hAnsi="Times New Roman"/>
          <w:sz w:val="24"/>
          <w:szCs w:val="24"/>
          <w:lang w:val="uk-UA" w:eastAsia="ru-RU"/>
        </w:rPr>
        <w:t>у</w:t>
      </w:r>
      <w:r w:rsidR="006169BA" w:rsidRPr="00D674C4">
        <w:rPr>
          <w:rFonts w:ascii="Times New Roman" w:hAnsi="Times New Roman"/>
          <w:sz w:val="24"/>
          <w:szCs w:val="24"/>
          <w:lang w:val="uk-UA" w:eastAsia="ru-RU"/>
        </w:rPr>
        <w:t xml:space="preserve"> Львівського окружного адміністративного</w:t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 суду від 23.12.2020 у справі № 3Д/380/86/20</w:t>
      </w:r>
      <w:r w:rsidR="006601FB" w:rsidRPr="00D674C4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згідно з </w:t>
      </w:r>
      <w:r w:rsidR="006601FB" w:rsidRPr="00D674C4">
        <w:rPr>
          <w:rFonts w:ascii="Times New Roman" w:hAnsi="Times New Roman"/>
          <w:sz w:val="24"/>
          <w:szCs w:val="24"/>
          <w:lang w:val="uk-UA" w:eastAsia="uk-UA"/>
        </w:rPr>
        <w:t>якою</w:t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 заборонено Антимонопольному комітету України та будь-яким органам і структурним підрозділам вчиняти дії на підставі подання Антимонопольного коміте</w:t>
      </w:r>
      <w:r w:rsidR="00D674C4">
        <w:rPr>
          <w:rFonts w:ascii="Times New Roman" w:hAnsi="Times New Roman"/>
          <w:sz w:val="24"/>
          <w:szCs w:val="24"/>
          <w:lang w:val="uk-UA" w:eastAsia="uk-UA"/>
        </w:rPr>
        <w:t>ту України від 26.11.2020 № 128</w:t>
      </w:r>
      <w:r w:rsidR="00D674C4">
        <w:rPr>
          <w:rFonts w:ascii="Times New Roman" w:hAnsi="Times New Roman"/>
          <w:sz w:val="24"/>
          <w:szCs w:val="24"/>
          <w:lang w:val="uk-UA" w:eastAsia="uk-UA"/>
        </w:rPr>
        <w:noBreakHyphen/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26.13/104-19/561-спр </w:t>
      </w:r>
      <w:r>
        <w:rPr>
          <w:rFonts w:ascii="Times New Roman" w:hAnsi="Times New Roman"/>
          <w:sz w:val="24"/>
          <w:szCs w:val="24"/>
          <w:lang w:val="uk-UA" w:eastAsia="uk-UA"/>
        </w:rPr>
        <w:t>з</w:t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 попередні</w:t>
      </w:r>
      <w:r>
        <w:rPr>
          <w:rFonts w:ascii="Times New Roman" w:hAnsi="Times New Roman"/>
          <w:sz w:val="24"/>
          <w:szCs w:val="24"/>
          <w:lang w:val="uk-UA" w:eastAsia="uk-UA"/>
        </w:rPr>
        <w:t>ми висновками</w:t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 за результатами розгляду справи № 128-26.13/104-19 в частині, що стосується АТ «</w:t>
      </w:r>
      <w:proofErr w:type="spellStart"/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>», зокрема заборонено приймати  будь-які рішення що</w:t>
      </w:r>
      <w:r w:rsidR="00D674C4">
        <w:rPr>
          <w:rFonts w:ascii="Times New Roman" w:hAnsi="Times New Roman"/>
          <w:sz w:val="24"/>
          <w:szCs w:val="24"/>
          <w:lang w:val="uk-UA" w:eastAsia="uk-UA"/>
        </w:rPr>
        <w:t>до А</w:t>
      </w:r>
      <w:proofErr w:type="spellStart"/>
      <w:r w:rsidR="00D674C4">
        <w:rPr>
          <w:rFonts w:ascii="Times New Roman" w:hAnsi="Times New Roman"/>
          <w:sz w:val="24"/>
          <w:szCs w:val="24"/>
          <w:lang w:val="uk-UA" w:eastAsia="uk-UA"/>
        </w:rPr>
        <w:t>Т «Львів</w:t>
      </w:r>
      <w:proofErr w:type="spellEnd"/>
      <w:r w:rsidR="00D674C4">
        <w:rPr>
          <w:rFonts w:ascii="Times New Roman" w:hAnsi="Times New Roman"/>
          <w:sz w:val="24"/>
          <w:szCs w:val="24"/>
          <w:lang w:val="uk-UA" w:eastAsia="uk-UA"/>
        </w:rPr>
        <w:t>газ» у справі № 128</w:t>
      </w:r>
      <w:r w:rsidR="00D674C4">
        <w:rPr>
          <w:rFonts w:ascii="Times New Roman" w:hAnsi="Times New Roman"/>
          <w:sz w:val="24"/>
          <w:szCs w:val="24"/>
          <w:lang w:val="uk-UA" w:eastAsia="uk-UA"/>
        </w:rPr>
        <w:noBreakHyphen/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>26.13/1</w:t>
      </w:r>
      <w:r w:rsidR="00C6624D" w:rsidRPr="00D674C4">
        <w:rPr>
          <w:rFonts w:ascii="Times New Roman" w:hAnsi="Times New Roman"/>
          <w:sz w:val="24"/>
          <w:szCs w:val="24"/>
          <w:lang w:val="uk-UA" w:eastAsia="uk-UA"/>
        </w:rPr>
        <w:t>04-19 до набрання законної сили</w:t>
      </w:r>
      <w:r w:rsidR="006169BA" w:rsidRPr="00D674C4">
        <w:rPr>
          <w:rFonts w:ascii="Times New Roman" w:hAnsi="Times New Roman"/>
          <w:sz w:val="24"/>
          <w:szCs w:val="24"/>
          <w:lang w:val="uk-UA" w:eastAsia="uk-UA"/>
        </w:rPr>
        <w:t xml:space="preserve"> судовим рішенням у справі № 3Д/380/86/20.</w:t>
      </w:r>
    </w:p>
    <w:p w:rsidR="00457BB5" w:rsidRDefault="00457BB5" w:rsidP="00457BB5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З огляду на ухвалу Львівського окружного адміністративного суду від 23.12.2020 у справі № 3Д/380/86/20 рішення </w:t>
      </w:r>
      <w:r w:rsidR="006717D9">
        <w:rPr>
          <w:rFonts w:ascii="Times New Roman" w:hAnsi="Times New Roman"/>
          <w:sz w:val="24"/>
          <w:szCs w:val="24"/>
          <w:lang w:val="uk-UA" w:eastAsia="uk-UA"/>
        </w:rPr>
        <w:t>щодо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» Комітетом не було прийнято.</w:t>
      </w:r>
    </w:p>
    <w:p w:rsidR="00457BB5" w:rsidRDefault="00457BB5" w:rsidP="00457BB5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Постановою Восьмого апеляційного адміністративного суду від 18.02.2021 скасовано 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ухвалу Львівського окружного адміністративного суду від 23.12.2020 у справі № 3Д/380/86/20. Зазначена постанова суду набрала законної сили з моменту її прийняття. </w:t>
      </w:r>
    </w:p>
    <w:p w:rsidR="00CC403F" w:rsidRPr="004E5E88" w:rsidRDefault="00D674C4" w:rsidP="00457BB5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E5E88">
        <w:rPr>
          <w:rFonts w:ascii="Times New Roman" w:hAnsi="Times New Roman"/>
          <w:sz w:val="24"/>
          <w:szCs w:val="24"/>
          <w:lang w:val="uk-UA" w:eastAsia="uk-UA"/>
        </w:rPr>
        <w:t>На 24.12.2020</w:t>
      </w:r>
      <w:r w:rsidR="00CC403F" w:rsidRPr="004E5E88">
        <w:rPr>
          <w:rFonts w:ascii="Times New Roman" w:hAnsi="Times New Roman"/>
          <w:sz w:val="24"/>
          <w:szCs w:val="24"/>
          <w:lang w:val="uk-UA" w:eastAsia="uk-UA"/>
        </w:rPr>
        <w:t xml:space="preserve"> міркувань, пропозицій та/або заперечень стосовно попередніх висновків у справі від АТ «</w:t>
      </w:r>
      <w:proofErr w:type="spellStart"/>
      <w:r w:rsidR="00CC403F" w:rsidRPr="004E5E88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CC403F" w:rsidRPr="004E5E88">
        <w:rPr>
          <w:rFonts w:ascii="Times New Roman" w:hAnsi="Times New Roman"/>
          <w:sz w:val="24"/>
          <w:szCs w:val="24"/>
          <w:lang w:val="uk-UA" w:eastAsia="uk-UA"/>
        </w:rPr>
        <w:t>» не надходило.</w:t>
      </w:r>
    </w:p>
    <w:p w:rsidR="00D674C4" w:rsidRPr="00457BB5" w:rsidRDefault="00D674C4" w:rsidP="00D674C4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E5E88">
        <w:rPr>
          <w:rFonts w:ascii="Times New Roman" w:hAnsi="Times New Roman"/>
          <w:sz w:val="24"/>
          <w:szCs w:val="24"/>
          <w:lang w:val="uk-UA" w:eastAsia="uk-UA"/>
        </w:rPr>
        <w:t>Разом з тим</w:t>
      </w:r>
      <w:r w:rsidR="006047B6" w:rsidRPr="004E5E88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4E5E88">
        <w:rPr>
          <w:rFonts w:ascii="Times New Roman" w:hAnsi="Times New Roman"/>
          <w:sz w:val="24"/>
          <w:szCs w:val="24"/>
          <w:lang w:val="uk-UA" w:eastAsia="uk-UA"/>
        </w:rPr>
        <w:t xml:space="preserve"> на засіданні Комітету 01.04.2021 заслухано </w:t>
      </w:r>
      <w:r w:rsidR="00324141" w:rsidRPr="004E5E88">
        <w:rPr>
          <w:rFonts w:ascii="Times New Roman" w:hAnsi="Times New Roman"/>
          <w:sz w:val="24"/>
          <w:szCs w:val="24"/>
          <w:lang w:val="uk-UA" w:eastAsia="uk-UA"/>
        </w:rPr>
        <w:t>заперечення</w:t>
      </w:r>
      <w:r w:rsidRPr="004E5E88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4E5E88" w:rsidRPr="004E5E88">
        <w:rPr>
          <w:rFonts w:ascii="Times New Roman" w:hAnsi="Times New Roman"/>
          <w:sz w:val="24"/>
          <w:szCs w:val="24"/>
          <w:lang w:val="uk-UA" w:eastAsia="uk-UA"/>
        </w:rPr>
        <w:t>уповноваженого представника АТ «</w:t>
      </w:r>
      <w:proofErr w:type="spellStart"/>
      <w:r w:rsidR="004E5E88" w:rsidRPr="004E5E88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6717D9">
        <w:rPr>
          <w:rFonts w:ascii="Times New Roman" w:hAnsi="Times New Roman"/>
          <w:sz w:val="24"/>
          <w:szCs w:val="24"/>
          <w:lang w:val="uk-UA" w:eastAsia="uk-UA"/>
        </w:rPr>
        <w:t>»</w:t>
      </w:r>
      <w:r w:rsidR="004E5E88" w:rsidRPr="004E5E88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324141" w:rsidRPr="004E5E88">
        <w:rPr>
          <w:rFonts w:ascii="Times New Roman" w:hAnsi="Times New Roman"/>
          <w:sz w:val="24"/>
          <w:szCs w:val="24"/>
          <w:lang w:val="uk-UA" w:eastAsia="uk-UA"/>
        </w:rPr>
        <w:t xml:space="preserve">на подання </w:t>
      </w:r>
      <w:r w:rsidR="004E5E88" w:rsidRPr="004E5E88">
        <w:rPr>
          <w:rFonts w:ascii="Times New Roman" w:hAnsi="Times New Roman"/>
          <w:sz w:val="24"/>
          <w:szCs w:val="24"/>
          <w:lang w:val="uk-UA" w:eastAsia="ru-RU"/>
        </w:rPr>
        <w:t>від 26.11.2020 № 128</w:t>
      </w:r>
      <w:r w:rsidR="004E5E88" w:rsidRPr="004E5E88">
        <w:rPr>
          <w:rFonts w:ascii="Times New Roman" w:hAnsi="Times New Roman"/>
          <w:sz w:val="24"/>
          <w:szCs w:val="24"/>
          <w:lang w:val="uk-UA" w:eastAsia="ru-RU"/>
        </w:rPr>
        <w:noBreakHyphen/>
        <w:t xml:space="preserve">26.13/104-19/561-спр </w:t>
      </w:r>
      <w:r w:rsidR="006717D9">
        <w:rPr>
          <w:rFonts w:ascii="Times New Roman" w:hAnsi="Times New Roman"/>
          <w:sz w:val="24"/>
          <w:szCs w:val="24"/>
          <w:lang w:val="uk-UA" w:eastAsia="ru-RU"/>
        </w:rPr>
        <w:t xml:space="preserve">з </w:t>
      </w:r>
      <w:r w:rsidR="004E5E88" w:rsidRPr="004E5E88">
        <w:rPr>
          <w:rFonts w:ascii="Times New Roman" w:hAnsi="Times New Roman"/>
          <w:sz w:val="24"/>
          <w:szCs w:val="24"/>
          <w:lang w:val="uk-UA" w:eastAsia="ru-RU"/>
        </w:rPr>
        <w:t>попередні</w:t>
      </w:r>
      <w:r w:rsidR="006717D9">
        <w:rPr>
          <w:rFonts w:ascii="Times New Roman" w:hAnsi="Times New Roman"/>
          <w:sz w:val="24"/>
          <w:szCs w:val="24"/>
          <w:lang w:val="uk-UA" w:eastAsia="ru-RU"/>
        </w:rPr>
        <w:t>ми висновками</w:t>
      </w:r>
      <w:r w:rsidR="00AE025B">
        <w:rPr>
          <w:rFonts w:ascii="Times New Roman" w:hAnsi="Times New Roman"/>
          <w:sz w:val="24"/>
          <w:szCs w:val="24"/>
          <w:lang w:val="uk-UA" w:eastAsia="ru-RU"/>
        </w:rPr>
        <w:t xml:space="preserve"> у справі № 128-26.13/104-19, надані листом від 31.03.2021 № 31/03-21 (вх. від 31.03.2021 № 8-01/4376) </w:t>
      </w:r>
      <w:r w:rsidR="00AE025B">
        <w:rPr>
          <w:rFonts w:ascii="Times New Roman" w:hAnsi="Times New Roman"/>
          <w:sz w:val="24"/>
          <w:szCs w:val="24"/>
          <w:lang w:val="uk-UA" w:eastAsia="uk-UA"/>
        </w:rPr>
        <w:t xml:space="preserve">та вказаний лист </w:t>
      </w:r>
      <w:r w:rsidRPr="004E5E88">
        <w:rPr>
          <w:rFonts w:ascii="Times New Roman" w:hAnsi="Times New Roman"/>
          <w:sz w:val="24"/>
          <w:szCs w:val="24"/>
          <w:lang w:val="uk-UA" w:eastAsia="uk-UA"/>
        </w:rPr>
        <w:t>приєднано до матеріалів справи № 128-26.13/104-19.</w:t>
      </w:r>
    </w:p>
    <w:p w:rsidR="006169BA" w:rsidRPr="006A0C9C" w:rsidRDefault="006169BA" w:rsidP="006169BA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hAnsi="Times New Roman"/>
          <w:sz w:val="24"/>
          <w:szCs w:val="24"/>
          <w:lang w:val="uk-UA" w:eastAsia="ru-RU"/>
        </w:rPr>
        <w:lastRenderedPageBreak/>
        <w:t xml:space="preserve">Відповідно до частини </w:t>
      </w:r>
      <w:r w:rsidR="00BF3BFA" w:rsidRPr="006A0C9C">
        <w:rPr>
          <w:rFonts w:ascii="Times New Roman" w:hAnsi="Times New Roman"/>
          <w:sz w:val="24"/>
          <w:szCs w:val="24"/>
          <w:lang w:val="uk-UA" w:eastAsia="ru-RU"/>
        </w:rPr>
        <w:t>третьої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статті </w:t>
      </w:r>
      <w:r w:rsidR="00BF3BFA" w:rsidRPr="006A0C9C">
        <w:rPr>
          <w:rFonts w:ascii="Times New Roman" w:hAnsi="Times New Roman"/>
          <w:sz w:val="24"/>
          <w:szCs w:val="24"/>
          <w:lang w:val="uk-UA" w:eastAsia="ru-RU"/>
        </w:rPr>
        <w:t>48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органи Антимонопольного комітету України, які прийняли рішення, </w:t>
      </w:r>
      <w:r w:rsidR="00BF3BFA" w:rsidRPr="006A0C9C">
        <w:rPr>
          <w:rFonts w:ascii="Times New Roman" w:hAnsi="Times New Roman"/>
          <w:sz w:val="24"/>
          <w:szCs w:val="24"/>
          <w:lang w:val="uk-UA" w:eastAsia="ru-RU"/>
        </w:rPr>
        <w:t xml:space="preserve">можуть 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>прийняти додаткове рішення, якщо з якогось питання, що досліджувалося під час розгляду справи, не прийнято рішення.</w:t>
      </w:r>
    </w:p>
    <w:p w:rsidR="00974C30" w:rsidRPr="006A0C9C" w:rsidRDefault="00974C30" w:rsidP="006169BA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hAnsi="Times New Roman"/>
          <w:sz w:val="24"/>
          <w:szCs w:val="24"/>
          <w:lang w:val="uk-UA" w:eastAsia="ru-RU"/>
        </w:rPr>
        <w:t>Так</w:t>
      </w:r>
      <w:r w:rsidR="009B71C0" w:rsidRPr="006A0C9C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під</w:t>
      </w:r>
      <w:r w:rsidR="006169BA" w:rsidRPr="006A0C9C">
        <w:rPr>
          <w:rFonts w:ascii="Times New Roman" w:hAnsi="Times New Roman"/>
          <w:sz w:val="24"/>
          <w:szCs w:val="24"/>
          <w:lang w:val="uk-UA" w:eastAsia="ru-RU"/>
        </w:rPr>
        <w:t xml:space="preserve"> час розгляду справи 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128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>26.13/104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noBreakHyphen/>
        <w:t xml:space="preserve">19 </w:t>
      </w:r>
      <w:r w:rsidR="009B71C0"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Комітетом, серед іншого, було</w:t>
      </w:r>
      <w:r w:rsidRPr="006A0C9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досліджено та встановлено, що:</w:t>
      </w:r>
    </w:p>
    <w:p w:rsidR="006B2447" w:rsidRPr="006A0C9C" w:rsidRDefault="006B2447" w:rsidP="00974C30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Група суб’єктів господарювання в особі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АТ «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Вінницягаз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Волиньгаз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«Житомир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Закарпатгаз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З</w:t>
      </w:r>
      <w:r w:rsidR="00CC403F">
        <w:rPr>
          <w:rFonts w:ascii="Times New Roman" w:hAnsi="Times New Roman"/>
          <w:sz w:val="24"/>
          <w:szCs w:val="24"/>
          <w:lang w:val="uk-UA" w:eastAsia="uk-UA"/>
        </w:rPr>
        <w:t>апоріжгаз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Київоблгаз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«Дніпро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Дніпропетровськгаз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Криворіжгаз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», </w:t>
      </w: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АТ «</w:t>
      </w:r>
      <w:proofErr w:type="spellStart"/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Львівгаз</w:t>
      </w:r>
      <w:proofErr w:type="spellEnd"/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»</w:t>
      </w:r>
      <w:r w:rsidR="00CC403F">
        <w:rPr>
          <w:rFonts w:ascii="Times New Roman" w:hAnsi="Times New Roman"/>
          <w:sz w:val="24"/>
          <w:szCs w:val="24"/>
          <w:lang w:val="uk-UA" w:eastAsia="uk-UA"/>
        </w:rPr>
        <w:t>, А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«Миколаїв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Рівнегаз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Сумигаз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», </w:t>
      </w:r>
      <w:r w:rsidR="00CC403F">
        <w:rPr>
          <w:rFonts w:ascii="Times New Roman" w:hAnsi="Times New Roman"/>
          <w:sz w:val="24"/>
          <w:szCs w:val="24"/>
          <w:lang w:val="uk-UA" w:eastAsia="uk-UA"/>
        </w:rPr>
        <w:t>АТ «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Івано-Франківськгаз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«Харків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Харківміськгаз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Хмель</w:t>
      </w:r>
      <w:r w:rsidR="00CC403F">
        <w:rPr>
          <w:rFonts w:ascii="Times New Roman" w:hAnsi="Times New Roman"/>
          <w:sz w:val="24"/>
          <w:szCs w:val="24"/>
          <w:lang w:val="uk-UA" w:eastAsia="uk-UA"/>
        </w:rPr>
        <w:t>ницькгаз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Чернівцігаз</w:t>
      </w:r>
      <w:proofErr w:type="spellEnd"/>
      <w:r w:rsidR="00CC403F">
        <w:rPr>
          <w:rFonts w:ascii="Times New Roman" w:hAnsi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«Чернігів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газ» </w:t>
      </w: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протягом 2016 – 2018 років займала монопольне (домінуюче) становище на ринку послуги з розподілу природного газу в межах територій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міста Вінниця та Вінницької області, міста Гайворон Гайворонського району Кіровоградської області [з 19.06.2017 - Вінницької області (крім сіл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Якушенці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Зарванці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Вінницького району,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смт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Браїлів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сіл Сьомаки,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Біликівці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Тартак,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Кармалюкове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Курилівці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Дубова, Новоселиця,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Василівка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Слобода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Почапинецька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Почапинці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Зоринці,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Лисогірка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Людавка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Жмеринського району,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смт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Кирнасівка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сіл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Одая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Нестерварка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Федьківка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Дранка,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Тиманівка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Клебань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Копіївка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хутора Маркове Тульчинського району, сіл Пилипи Борівські, Калинка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Томашпільського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району, сіл Сокіл,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Моївка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Борівка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хутора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Грабовець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Чернівецького району, села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Махаринці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Козятинського району, сіл Бухни,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Морозівка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Погребищенського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району), а також території міста Гайворон Кіровоградської області]; Волинської області; міста Житомир та Житомирської області (крім міста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Коростишів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Коростишівського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району), а також територій сіл Бухни та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Морозівка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Погребищанського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 та села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Махаринці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Козятинського району Вінницької області; Закарпатської області; міста Запоріжжя та Запорізької області (крім міста Мелітополь, Мелітопольського,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Веселівського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Приазовського районів та села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Темирівка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Гуляйпільського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району); Київської області; міста Дніпро та Дніпропетровського району (крім сіл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Любимівка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Перше травня,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Балівка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>, Зоря, Маївка, Степове, Партизанське, Чумаки, радгоспу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Дзержинець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») Дніпропетровської області; Дніпропетровської області (крім міст Дніпро і Кривий Ріг та Дніпровського і Криворізького районів), а також сіл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Любимівка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Перше Травня, Степове, Чумаки, Маївка, Зоря,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Балівка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Партизанське Дніпровського району, житлового масиву Інгулець Інгулецького району в місті Кривий Ріг Дніпропетровської області, села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Темирівка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Гуляйпільського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 Запорізької області та села Придніпрянське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Кобиляцького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 Полтавської області; міста Кривий Ріг (крім житлового масиву Інгулець Інгулецького району в місті Кривий Ріг) та Криворізького району Дніпропетровської області; </w:t>
      </w: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міста Львів та Львівської області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; міста Микол</w:t>
      </w:r>
      <w:r w:rsidR="006717D9">
        <w:rPr>
          <w:rFonts w:ascii="Times New Roman" w:hAnsi="Times New Roman"/>
          <w:sz w:val="24"/>
          <w:szCs w:val="24"/>
          <w:lang w:val="uk-UA" w:eastAsia="uk-UA"/>
        </w:rPr>
        <w:t>аїв та Миколаївської області;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міста Рівне та Рівненської області; міста Суми та Сумської області; міста Івано</w:t>
      </w:r>
      <w:r w:rsidR="000D543B">
        <w:rPr>
          <w:rFonts w:ascii="Times New Roman" w:hAnsi="Times New Roman"/>
          <w:sz w:val="24"/>
          <w:szCs w:val="24"/>
          <w:lang w:val="uk-UA" w:eastAsia="uk-UA"/>
        </w:rPr>
        <w:t>-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Франківськ та Івано-Франківської області (крім міст Тисмениця і Тисменицького району Івано-Франківської області), а також територій сіл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Черніїв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Чукалівка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Підлісся,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Загвіздя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Угринів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Павлівка,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Ямниця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Підлужжя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Клузів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Тисменицького району Івано</w:t>
      </w:r>
      <w:r w:rsidR="006717D9">
        <w:rPr>
          <w:rFonts w:ascii="Times New Roman" w:hAnsi="Times New Roman"/>
          <w:sz w:val="24"/>
          <w:szCs w:val="24"/>
          <w:lang w:val="uk-UA" w:eastAsia="uk-UA"/>
        </w:rPr>
        <w:t>-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Франківської області та вулиці Зелена, Ямна та Висока (будинки з № 23 по № 32 включно) села Діброва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Монастириського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 Тернопільської області; Харківської області (крім міста Харкова, Харківського та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Дергачівського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районів Харківської області); міста Харкова, сіл Горбані, Заїки, Затишшя,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Логачівка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Мищенки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Нестеренки, Горіхове, Павленки, Перемога,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Ржавець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Санжари, Радгоспне, Ударне,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Хроли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Циркуни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селищ міського типу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Безлюдівка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Кулиничі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Манченки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та садових товариств Акація, Казка Харківського району, а також територій сіл Лісне, Родичі, Сіряки,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Чайковка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Черкаська Лозова-2, Черкаська Лозова та селища міського типу Мала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Данилівка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Дергачівського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 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Харківської області; міста Хмельницький та Хмельницької області (крім міста Шепетівка та 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uk-UA"/>
        </w:rPr>
        <w:t>Шепетівського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району); Чернівецької області; міста Чернігів та Чернігівської області, </w:t>
      </w: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де розташовані газорозподільні системи, що перебувають у їх власності, господарському віданні, користуванні чи експлуатації, з часткою 100 %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(пункт </w:t>
      </w:r>
      <w:r w:rsidR="00510A51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250</w:t>
      </w:r>
      <w:r w:rsidR="00510A51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Рішення);</w:t>
      </w:r>
    </w:p>
    <w:p w:rsidR="00974C30" w:rsidRPr="006A0C9C" w:rsidRDefault="00974C30" w:rsidP="00974C30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A0C9C">
        <w:rPr>
          <w:rFonts w:ascii="Times New Roman" w:hAnsi="Times New Roman"/>
          <w:sz w:val="24"/>
          <w:szCs w:val="24"/>
          <w:lang w:val="uk-UA" w:eastAsia="ru-RU"/>
        </w:rPr>
        <w:t>Група суб’єктів господарювання</w:t>
      </w:r>
      <w:r w:rsidR="006B2447" w:rsidRPr="006A0C9C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до складу якої входить АТ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ru-RU"/>
        </w:rPr>
        <w:t>Львівгаз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ru-RU"/>
        </w:rPr>
        <w:t>»</w:t>
      </w:r>
      <w:r w:rsidR="006B2447" w:rsidRPr="006A0C9C">
        <w:rPr>
          <w:rFonts w:ascii="Times New Roman" w:hAnsi="Times New Roman"/>
          <w:sz w:val="24"/>
          <w:szCs w:val="24"/>
          <w:lang w:val="uk-UA" w:eastAsia="ru-RU"/>
        </w:rPr>
        <w:t>,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протягом 2016 – 2018 років, займаючи монопольне (домінуюче) становище на ринку послуги з розподілу природного газу в межах територій, де розташовані газорозподільні системи, що перебувають у їх власності, господарському віданні, користуванні чи експлуатації, своїми діями, що полягали у висуванні в період з 11.11.2016 по 10.07.2018 додаткових необґрунтованих вимог щодо обов’язкової наявності протоколу випробування з позитивними висновками за РМ 081/39.434-2014 для участі в закупівлях побутових лічильників газу з використанням електронної системи «</w:t>
      </w:r>
      <w:proofErr w:type="spellStart"/>
      <w:r w:rsidRPr="006A0C9C">
        <w:rPr>
          <w:rFonts w:ascii="Times New Roman" w:hAnsi="Times New Roman"/>
          <w:sz w:val="24"/>
          <w:szCs w:val="24"/>
          <w:lang w:val="uk-UA" w:eastAsia="ru-RU"/>
        </w:rPr>
        <w:t>ProZorro</w:t>
      </w:r>
      <w:proofErr w:type="spellEnd"/>
      <w:r w:rsidRPr="006A0C9C">
        <w:rPr>
          <w:rFonts w:ascii="Times New Roman" w:hAnsi="Times New Roman"/>
          <w:sz w:val="24"/>
          <w:szCs w:val="24"/>
          <w:lang w:val="uk-UA" w:eastAsia="ru-RU"/>
        </w:rPr>
        <w:t>», що призвели до ущемлення інтересів інших суб’єктів господарювання та були б неможливими за умов існування значної конкуренції на ринку розподілу природного газу, вчинил</w:t>
      </w:r>
      <w:r w:rsidR="006D73D5">
        <w:rPr>
          <w:rFonts w:ascii="Times New Roman" w:hAnsi="Times New Roman"/>
          <w:sz w:val="24"/>
          <w:szCs w:val="24"/>
          <w:lang w:val="uk-UA" w:eastAsia="ru-RU"/>
        </w:rPr>
        <w:t>а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 xml:space="preserve"> порушення законодавства про захист економічної конкуренції, передбачене частиною першою статті 13 Закону України «Про захист економічної конкуренції» 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пункти 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296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– 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298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402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403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(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>427</w:t>
      </w:r>
      <w:r w:rsidR="00510A51" w:rsidRPr="006A0C9C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Рішення)</w:t>
      </w:r>
      <w:r w:rsidRPr="006A0C9C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C2705A" w:rsidRDefault="00637CCA" w:rsidP="00C2705A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C2705A">
        <w:rPr>
          <w:rFonts w:ascii="Times New Roman" w:hAnsi="Times New Roman"/>
          <w:sz w:val="24"/>
          <w:szCs w:val="24"/>
          <w:lang w:val="uk-UA" w:eastAsia="uk-UA"/>
        </w:rPr>
        <w:t>Враховуючи, що за результатами розгляду справи № 128-26.13/104-19 Комітетом досліджено обставини щодо порушення Групою суб’єктів господарювання, до складу якої входить АТ «</w:t>
      </w:r>
      <w:proofErr w:type="spellStart"/>
      <w:r w:rsidRPr="00C2705A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Pr="00C2705A">
        <w:rPr>
          <w:rFonts w:ascii="Times New Roman" w:hAnsi="Times New Roman"/>
          <w:sz w:val="24"/>
          <w:szCs w:val="24"/>
          <w:lang w:val="uk-UA" w:eastAsia="uk-UA"/>
        </w:rPr>
        <w:t xml:space="preserve">» законодавства про захист економічної конкуренції, що відображено </w:t>
      </w:r>
      <w:r w:rsidR="00C2705A">
        <w:rPr>
          <w:rFonts w:ascii="Times New Roman" w:hAnsi="Times New Roman"/>
          <w:sz w:val="24"/>
          <w:szCs w:val="24"/>
          <w:lang w:val="uk-UA" w:eastAsia="uk-UA"/>
        </w:rPr>
        <w:t>в мотивувальній частині Рішення. П</w:t>
      </w:r>
      <w:r w:rsidRPr="00C2705A">
        <w:rPr>
          <w:rFonts w:ascii="Times New Roman" w:hAnsi="Times New Roman"/>
          <w:sz w:val="24"/>
          <w:szCs w:val="24"/>
          <w:lang w:val="uk-UA" w:eastAsia="uk-UA"/>
        </w:rPr>
        <w:t xml:space="preserve">роте в резолютивній частині Рішення не </w:t>
      </w:r>
      <w:r w:rsidR="00C2705A">
        <w:rPr>
          <w:rFonts w:ascii="Times New Roman" w:hAnsi="Times New Roman"/>
          <w:sz w:val="24"/>
          <w:szCs w:val="24"/>
          <w:lang w:val="uk-UA" w:eastAsia="uk-UA"/>
        </w:rPr>
        <w:t>прийнято рішення стосовно АТ «</w:t>
      </w:r>
      <w:proofErr w:type="spellStart"/>
      <w:r w:rsidR="00C2705A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C2705A">
        <w:rPr>
          <w:rFonts w:ascii="Times New Roman" w:hAnsi="Times New Roman"/>
          <w:sz w:val="24"/>
          <w:szCs w:val="24"/>
          <w:lang w:val="uk-UA" w:eastAsia="uk-UA"/>
        </w:rPr>
        <w:t>» отже,</w:t>
      </w:r>
      <w:r w:rsidRPr="00C2705A">
        <w:rPr>
          <w:rFonts w:ascii="Times New Roman" w:hAnsi="Times New Roman"/>
          <w:sz w:val="24"/>
          <w:szCs w:val="24"/>
          <w:lang w:val="uk-UA" w:eastAsia="uk-UA"/>
        </w:rPr>
        <w:t xml:space="preserve"> є підстави для прийняття додаткового рішення до рішення Антимонопольного комітету України від 24.12.2020 № 810-р в частині, що стосується </w:t>
      </w:r>
      <w:r w:rsidR="00CC403F" w:rsidRPr="00C2705A">
        <w:rPr>
          <w:rFonts w:ascii="Times New Roman" w:hAnsi="Times New Roman"/>
          <w:sz w:val="24"/>
          <w:szCs w:val="24"/>
          <w:lang w:val="uk-UA" w:eastAsia="uk-UA"/>
        </w:rPr>
        <w:t>А</w:t>
      </w:r>
      <w:proofErr w:type="spellStart"/>
      <w:r w:rsidR="00CC403F" w:rsidRPr="00C2705A">
        <w:rPr>
          <w:rFonts w:ascii="Times New Roman" w:hAnsi="Times New Roman"/>
          <w:sz w:val="24"/>
          <w:szCs w:val="24"/>
          <w:lang w:val="uk-UA" w:eastAsia="uk-UA"/>
        </w:rPr>
        <w:t>Т </w:t>
      </w:r>
      <w:r w:rsidRPr="00C2705A">
        <w:rPr>
          <w:rFonts w:ascii="Times New Roman" w:hAnsi="Times New Roman"/>
          <w:sz w:val="24"/>
          <w:szCs w:val="24"/>
          <w:lang w:val="uk-UA" w:eastAsia="uk-UA"/>
        </w:rPr>
        <w:t>«Львів</w:t>
      </w:r>
      <w:proofErr w:type="spellEnd"/>
      <w:r w:rsidRPr="00C2705A">
        <w:rPr>
          <w:rFonts w:ascii="Times New Roman" w:hAnsi="Times New Roman"/>
          <w:sz w:val="24"/>
          <w:szCs w:val="24"/>
          <w:lang w:val="uk-UA" w:eastAsia="uk-UA"/>
        </w:rPr>
        <w:t>газ».</w:t>
      </w:r>
    </w:p>
    <w:p w:rsidR="00637CCA" w:rsidRPr="00C2705A" w:rsidRDefault="00637CCA" w:rsidP="00C2705A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C2705A">
        <w:rPr>
          <w:rFonts w:ascii="Times New Roman" w:hAnsi="Times New Roman"/>
          <w:sz w:val="24"/>
          <w:szCs w:val="24"/>
          <w:lang w:val="uk-UA" w:eastAsia="uk-UA"/>
        </w:rPr>
        <w:t>Відповідно до абзацу другого частини другої статті 52 Закону України «Про захист економічної конкуренції» за порушення, визначене пунктом 2 статті 50 цього Закону, накладається штраф у розмірі до десяти відсотків доходу (виручки) суб’єкта господарювання від реалізації продукції (товарів, робіт, послуг) за останній звітній рік, що передував року, в якому накладається штраф.</w:t>
      </w:r>
    </w:p>
    <w:p w:rsidR="00637CCA" w:rsidRPr="00C2705A" w:rsidRDefault="00637CCA" w:rsidP="00C2705A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C2705A">
        <w:rPr>
          <w:rFonts w:ascii="Times New Roman" w:hAnsi="Times New Roman"/>
          <w:sz w:val="24"/>
          <w:szCs w:val="24"/>
          <w:lang w:val="uk-UA" w:eastAsia="uk-UA"/>
        </w:rPr>
        <w:t>Дохід за 2020 рік від реалізації продукції (товарів, робіт, послуг) АТ «</w:t>
      </w:r>
      <w:proofErr w:type="spellStart"/>
      <w:r w:rsidRPr="00C2705A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Pr="00C2705A">
        <w:rPr>
          <w:rFonts w:ascii="Times New Roman" w:hAnsi="Times New Roman"/>
          <w:sz w:val="24"/>
          <w:szCs w:val="24"/>
          <w:lang w:val="uk-UA" w:eastAsia="uk-UA"/>
        </w:rPr>
        <w:t>»</w:t>
      </w:r>
      <w:r w:rsidR="00D574F2" w:rsidRPr="00C2705A">
        <w:rPr>
          <w:rFonts w:ascii="Times New Roman" w:hAnsi="Times New Roman"/>
          <w:sz w:val="24"/>
          <w:szCs w:val="24"/>
          <w:lang w:val="uk-UA" w:eastAsia="uk-UA"/>
        </w:rPr>
        <w:t xml:space="preserve"> становить </w:t>
      </w:r>
      <w:r w:rsidR="00CC403F" w:rsidRPr="00C2705A">
        <w:rPr>
          <w:rFonts w:ascii="Times New Roman" w:hAnsi="Times New Roman"/>
          <w:sz w:val="24"/>
          <w:szCs w:val="24"/>
          <w:lang w:val="uk-UA" w:eastAsia="uk-UA"/>
        </w:rPr>
        <w:t xml:space="preserve">1 844 736 000 </w:t>
      </w:r>
      <w:r w:rsidR="00D574F2" w:rsidRPr="00C2705A">
        <w:rPr>
          <w:rFonts w:ascii="Times New Roman" w:hAnsi="Times New Roman"/>
          <w:sz w:val="24"/>
          <w:szCs w:val="24"/>
          <w:lang w:val="uk-UA" w:eastAsia="uk-UA"/>
        </w:rPr>
        <w:t>гривень.</w:t>
      </w:r>
    </w:p>
    <w:p w:rsidR="006D73D5" w:rsidRPr="006D73D5" w:rsidRDefault="006D73D5" w:rsidP="006D73D5">
      <w:pPr>
        <w:tabs>
          <w:tab w:val="left" w:pos="567"/>
        </w:tabs>
        <w:spacing w:before="120" w:after="120"/>
        <w:jc w:val="both"/>
        <w:rPr>
          <w:lang w:val="uk-UA" w:eastAsia="uk-UA"/>
        </w:rPr>
      </w:pPr>
    </w:p>
    <w:p w:rsidR="00974C30" w:rsidRPr="006A0C9C" w:rsidRDefault="00D42928" w:rsidP="00D5151A">
      <w:pPr>
        <w:tabs>
          <w:tab w:val="left" w:pos="567"/>
        </w:tabs>
        <w:spacing w:before="120" w:after="120" w:line="240" w:lineRule="auto"/>
        <w:ind w:left="567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A0C9C">
        <w:rPr>
          <w:rFonts w:ascii="Times New Roman" w:hAnsi="Times New Roman"/>
          <w:sz w:val="24"/>
          <w:szCs w:val="24"/>
          <w:lang w:val="uk-UA" w:eastAsia="uk-UA"/>
        </w:rPr>
        <w:tab/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ab/>
        <w:t xml:space="preserve">Враховуючи викладене, керуючись статтею 7 Закону України 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br/>
        <w:t>«Про Антимонопольний комітет України», статтями 48 і 52 Закону України «Про захист економічної конкуренції», Антимонопольний комітет України</w:t>
      </w:r>
    </w:p>
    <w:p w:rsidR="00D42928" w:rsidRPr="006A0C9C" w:rsidRDefault="00D42928" w:rsidP="00D42928">
      <w:pPr>
        <w:spacing w:before="240" w:after="24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A0C9C">
        <w:rPr>
          <w:rFonts w:ascii="Times New Roman" w:hAnsi="Times New Roman"/>
          <w:b/>
          <w:sz w:val="24"/>
          <w:szCs w:val="24"/>
          <w:lang w:val="uk-UA" w:eastAsia="uk-UA"/>
        </w:rPr>
        <w:t>ПОСТАНОВИВ:</w:t>
      </w:r>
    </w:p>
    <w:p w:rsidR="00BF3BFA" w:rsidRPr="006A0C9C" w:rsidRDefault="00BF3BFA" w:rsidP="00BF3BFA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Визнати, що </w:t>
      </w:r>
      <w:r w:rsidR="006717D9">
        <w:rPr>
          <w:rFonts w:ascii="Times New Roman" w:hAnsi="Times New Roman"/>
          <w:sz w:val="24"/>
          <w:szCs w:val="24"/>
          <w:lang w:val="uk-UA" w:eastAsia="uk-UA"/>
        </w:rPr>
        <w:t>АТ «</w:t>
      </w:r>
      <w:proofErr w:type="spellStart"/>
      <w:r w:rsidR="006717D9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6717D9">
        <w:rPr>
          <w:rFonts w:ascii="Times New Roman" w:hAnsi="Times New Roman"/>
          <w:sz w:val="24"/>
          <w:szCs w:val="24"/>
          <w:lang w:val="uk-UA" w:eastAsia="uk-UA"/>
        </w:rPr>
        <w:t>» у</w:t>
      </w:r>
      <w:r w:rsidRPr="006A0C9C">
        <w:rPr>
          <w:rFonts w:ascii="Times New Roman" w:hAnsi="Times New Roman"/>
          <w:sz w:val="24"/>
          <w:szCs w:val="24"/>
          <w:lang w:val="uk-UA" w:eastAsia="uk-UA"/>
        </w:rPr>
        <w:t xml:space="preserve"> складі</w:t>
      </w:r>
      <w:r w:rsidR="006717D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рупи суб’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єктів господарювання в особі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«Вінниця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Волиньгаз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томиргаз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Закарпатгаз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«Запоріж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Київоблгаз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Дніпрога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Дніпропетровськгаз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«Криворіж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газ», </w:t>
      </w:r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>АТ «</w:t>
      </w:r>
      <w:proofErr w:type="spellStart"/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 xml:space="preserve">», 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Миколаївгаз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Рівнегаз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«Суми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Івано-Франківськгаз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Харківгаз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Харківміськгаз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Хмельницькгаз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Чернівцігаз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Чернігівгаз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протягом 2016 – 2018 років займа</w:t>
      </w:r>
      <w:r w:rsidR="00791EB0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ло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монопольне (домінуюче) становище на ринку послуги з розподілу природного газу в межах територій міста Львів та Львівської області</w:t>
      </w:r>
      <w:r w:rsidR="00BC679E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де розташовані газорозподільні системи, що перебувають у його власності, господарському віданні, користуванні чи експлуатації, з часткою 100 %.</w:t>
      </w:r>
    </w:p>
    <w:p w:rsidR="00BF3BFA" w:rsidRPr="006A0C9C" w:rsidRDefault="00637CCA" w:rsidP="00747BF4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Визнати д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ії </w:t>
      </w:r>
      <w:r w:rsidR="006717D9">
        <w:rPr>
          <w:rFonts w:ascii="Times New Roman" w:hAnsi="Times New Roman"/>
          <w:sz w:val="24"/>
          <w:szCs w:val="24"/>
          <w:lang w:val="uk-UA" w:eastAsia="uk-UA"/>
        </w:rPr>
        <w:t>АТ «</w:t>
      </w:r>
      <w:proofErr w:type="spellStart"/>
      <w:r w:rsidR="006717D9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6717D9">
        <w:rPr>
          <w:rFonts w:ascii="Times New Roman" w:hAnsi="Times New Roman"/>
          <w:sz w:val="24"/>
          <w:szCs w:val="24"/>
          <w:lang w:val="uk-UA" w:eastAsia="uk-UA"/>
        </w:rPr>
        <w:t>» у</w:t>
      </w:r>
      <w:r w:rsidR="00747BF4" w:rsidRPr="006A0C9C">
        <w:rPr>
          <w:rFonts w:ascii="Times New Roman" w:hAnsi="Times New Roman"/>
          <w:sz w:val="24"/>
          <w:szCs w:val="24"/>
          <w:lang w:val="uk-UA" w:eastAsia="uk-UA"/>
        </w:rPr>
        <w:t xml:space="preserve"> складі</w:t>
      </w:r>
      <w:r w:rsidR="006717D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рупи суб’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єктів господарювання в особі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«Вінниця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Волиньгаз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томиргаз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Закарпатгаз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«Запоріж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Київоблгаз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Дніпрога</w:t>
      </w:r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Дніпропетровськгаз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«Криворіж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</w:t>
      </w:r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 xml:space="preserve"> АТ «</w:t>
      </w:r>
      <w:proofErr w:type="spellStart"/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>Львівгаз</w:t>
      </w:r>
      <w:proofErr w:type="spellEnd"/>
      <w:r w:rsidR="00012785" w:rsidRPr="006A0C9C">
        <w:rPr>
          <w:rFonts w:ascii="Times New Roman" w:hAnsi="Times New Roman"/>
          <w:sz w:val="24"/>
          <w:szCs w:val="24"/>
          <w:lang w:val="uk-UA" w:eastAsia="uk-UA"/>
        </w:rPr>
        <w:t>»,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Миколаївгаз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Рівнегаз</w:t>
      </w:r>
      <w:proofErr w:type="spellEnd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</w:t>
      </w:r>
      <w:proofErr w:type="spellStart"/>
      <w:r w:rsidR="00CC403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 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«Суми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газ»,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Івано-Франківськгаз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Харківгаз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Харківміськгаз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Хмельницькгаз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Чернівцігаз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АТ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Чернігівгаз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що полягали у висуванні в період з 11.11.2016 по 10.07.2018 додаткових необґрунтованих вимог щодо обов’язкової наявності протоколу випробування з позитивними висновками за РМ 081/39.434-2014 для участі в закупівлях побутових лічильників газу з використанням електронної системи «</w:t>
      </w:r>
      <w:proofErr w:type="spellStart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ProZorro</w:t>
      </w:r>
      <w:proofErr w:type="spellEnd"/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», що призвели до ущемлення інтересів інших суб’єктів господарювання та були б неможливими за умов існування значної конкуренції, є порушенням, передбаченим пунктом 2 статті 50, частиною першою статті 13 Закону України «Про захист економічної конкуренції», у вигляді зловживання монопольним (домінуючим) становищем на ринку послуги з розподілу природного газу в межах міста Львів та Львівської області</w:t>
      </w:r>
      <w:r w:rsidR="00BC679E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де розташовані газорозподільні системи, що перебувають у його власності, господарському віданні, користуванні чи експлуатації.</w:t>
      </w:r>
    </w:p>
    <w:p w:rsidR="00A06F2B" w:rsidRDefault="00A06F2B" w:rsidP="00747BF4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 порушення, визначене в</w:t>
      </w:r>
      <w:r w:rsidR="00791EB0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пункті 2 резолютивної частини 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цього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додаткового</w:t>
      </w:r>
      <w:r w:rsidR="00791EB0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рішення, накласти на 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акціонерне товариство «Оператор газорозподільної системи «</w:t>
      </w:r>
      <w:proofErr w:type="spellStart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Львівгаз</w:t>
      </w:r>
      <w:proofErr w:type="spellEnd"/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(</w:t>
      </w:r>
      <w:r w:rsidR="00656611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ідентифікаційний код 03349039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) штраф у розмірі </w:t>
      </w:r>
      <w:r w:rsidR="006047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75 634 176 (сімдесят п’ять мільйонів шістсот тридцять чотири тисячі сто сімдесят шість) </w:t>
      </w:r>
      <w:r w:rsidR="00747BF4"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гривень</w:t>
      </w: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6047B6" w:rsidRPr="006A0C9C" w:rsidRDefault="006047B6" w:rsidP="006047B6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06F2B" w:rsidRPr="006A0C9C" w:rsidRDefault="00A06F2B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Це додаткове рішення є невід’ємною частиною рішення Антимонопольно</w:t>
      </w:r>
      <w:r w:rsidR="00FF3B52"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го</w:t>
      </w: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комітету України від 24 грудня 2020 року № </w:t>
      </w:r>
      <w:r w:rsidR="009B385E"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810</w:t>
      </w: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-р.</w:t>
      </w: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Штраф підлягає сплаті у двомісячний строк з дня одержання </w:t>
      </w:r>
      <w:r w:rsidR="00BC679E"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додаткового </w:t>
      </w: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рішення. </w:t>
      </w: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Відповідно до статті 56 Закону України «Про захист економічної конкуренції» протягом п’яти днів з дня сплати штрафу суб’єкт господарювання зобов’язаний надіслати до Антимонопольного комітету України документи, що підтверджують сплату штрафу.</w:t>
      </w: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14F61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A0C9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Додаткове рішення може бути оскаржене до господарського суду міста Києва у двомісячний строк з дня його одержання.</w:t>
      </w:r>
    </w:p>
    <w:p w:rsidR="006047B6" w:rsidRDefault="006047B6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047B6" w:rsidRPr="006A0C9C" w:rsidRDefault="006047B6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14F61" w:rsidRPr="006A0C9C" w:rsidRDefault="00614F61" w:rsidP="006169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06F2B" w:rsidRPr="006A0C9C" w:rsidRDefault="00A06F2B" w:rsidP="00A06F2B">
      <w:pPr>
        <w:spacing w:before="12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A0C9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Комітету                                                                                    О. ПІЩАНСЬКА</w:t>
      </w:r>
    </w:p>
    <w:sectPr w:rsidR="00A06F2B" w:rsidRPr="006A0C9C" w:rsidSect="00C2705A">
      <w:headerReference w:type="default" r:id="rId10"/>
      <w:headerReference w:type="firs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CE" w:rsidRDefault="00724CCE" w:rsidP="00CB1CD7">
      <w:pPr>
        <w:spacing w:after="0" w:line="240" w:lineRule="auto"/>
      </w:pPr>
      <w:r>
        <w:separator/>
      </w:r>
    </w:p>
  </w:endnote>
  <w:endnote w:type="continuationSeparator" w:id="0">
    <w:p w:rsidR="00724CCE" w:rsidRDefault="00724CCE" w:rsidP="00CB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CE" w:rsidRDefault="00724CCE" w:rsidP="00CB1CD7">
      <w:pPr>
        <w:spacing w:after="0" w:line="240" w:lineRule="auto"/>
      </w:pPr>
      <w:r>
        <w:separator/>
      </w:r>
    </w:p>
  </w:footnote>
  <w:footnote w:type="continuationSeparator" w:id="0">
    <w:p w:rsidR="00724CCE" w:rsidRDefault="00724CCE" w:rsidP="00CB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559150"/>
      <w:docPartObj>
        <w:docPartGallery w:val="Page Numbers (Top of Page)"/>
        <w:docPartUnique/>
      </w:docPartObj>
    </w:sdtPr>
    <w:sdtEndPr/>
    <w:sdtContent>
      <w:p w:rsidR="00C2705A" w:rsidRDefault="00C2705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4E1">
          <w:rPr>
            <w:noProof/>
          </w:rPr>
          <w:t>2</w:t>
        </w:r>
        <w:r>
          <w:fldChar w:fldCharType="end"/>
        </w:r>
      </w:p>
    </w:sdtContent>
  </w:sdt>
  <w:p w:rsidR="00CB1CD7" w:rsidRPr="00CB1CD7" w:rsidRDefault="00CB1CD7" w:rsidP="00CB1CD7">
    <w:pPr>
      <w:pStyle w:val="ad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05A" w:rsidRPr="00C2705A" w:rsidRDefault="00C2705A" w:rsidP="00C2705A">
    <w:pPr>
      <w:pStyle w:val="ad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3F45"/>
    <w:multiLevelType w:val="hybridMultilevel"/>
    <w:tmpl w:val="A76C474C"/>
    <w:lvl w:ilvl="0" w:tplc="C30C4212">
      <w:start w:val="1"/>
      <w:numFmt w:val="decimal"/>
      <w:lvlText w:val="(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8FF2B80A">
      <w:numFmt w:val="bullet"/>
      <w:lvlText w:val="–"/>
      <w:lvlJc w:val="left"/>
      <w:pPr>
        <w:ind w:left="2782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274D6BC0"/>
    <w:multiLevelType w:val="hybridMultilevel"/>
    <w:tmpl w:val="4DAA01E2"/>
    <w:lvl w:ilvl="0" w:tplc="F05EC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4F26499"/>
    <w:multiLevelType w:val="hybridMultilevel"/>
    <w:tmpl w:val="67162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D7205"/>
    <w:multiLevelType w:val="hybridMultilevel"/>
    <w:tmpl w:val="D43487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23A68"/>
    <w:multiLevelType w:val="hybridMultilevel"/>
    <w:tmpl w:val="F36ABDC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A6322FE"/>
    <w:multiLevelType w:val="hybridMultilevel"/>
    <w:tmpl w:val="7D1C02AC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D10230A"/>
    <w:multiLevelType w:val="hybridMultilevel"/>
    <w:tmpl w:val="E282222C"/>
    <w:lvl w:ilvl="0" w:tplc="63E84FA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E5C"/>
    <w:rsid w:val="00012785"/>
    <w:rsid w:val="00060605"/>
    <w:rsid w:val="000A7E00"/>
    <w:rsid w:val="000D543B"/>
    <w:rsid w:val="001B7E9C"/>
    <w:rsid w:val="002563B5"/>
    <w:rsid w:val="0029016B"/>
    <w:rsid w:val="002C7E36"/>
    <w:rsid w:val="00324141"/>
    <w:rsid w:val="0034303F"/>
    <w:rsid w:val="003814E1"/>
    <w:rsid w:val="003A49A0"/>
    <w:rsid w:val="00457BB5"/>
    <w:rsid w:val="004E5E88"/>
    <w:rsid w:val="004E7EAC"/>
    <w:rsid w:val="00510A51"/>
    <w:rsid w:val="005B7A6B"/>
    <w:rsid w:val="006047B6"/>
    <w:rsid w:val="00614F61"/>
    <w:rsid w:val="006169BA"/>
    <w:rsid w:val="00637CCA"/>
    <w:rsid w:val="00656611"/>
    <w:rsid w:val="006601FB"/>
    <w:rsid w:val="006717D9"/>
    <w:rsid w:val="006A0C9C"/>
    <w:rsid w:val="006B2447"/>
    <w:rsid w:val="006D73D5"/>
    <w:rsid w:val="007012AB"/>
    <w:rsid w:val="00724CCE"/>
    <w:rsid w:val="00726C1C"/>
    <w:rsid w:val="00747BF4"/>
    <w:rsid w:val="00791EB0"/>
    <w:rsid w:val="007D350D"/>
    <w:rsid w:val="008953C9"/>
    <w:rsid w:val="00974C30"/>
    <w:rsid w:val="009B385E"/>
    <w:rsid w:val="009B71C0"/>
    <w:rsid w:val="009F4DDC"/>
    <w:rsid w:val="00A06F2B"/>
    <w:rsid w:val="00A1620B"/>
    <w:rsid w:val="00A713B0"/>
    <w:rsid w:val="00AC212B"/>
    <w:rsid w:val="00AE025B"/>
    <w:rsid w:val="00BA2E5C"/>
    <w:rsid w:val="00BC679E"/>
    <w:rsid w:val="00BE65B3"/>
    <w:rsid w:val="00BF3BFA"/>
    <w:rsid w:val="00BF5C53"/>
    <w:rsid w:val="00C2705A"/>
    <w:rsid w:val="00C46BB7"/>
    <w:rsid w:val="00C6624D"/>
    <w:rsid w:val="00CB1CD7"/>
    <w:rsid w:val="00CC403F"/>
    <w:rsid w:val="00CD3F54"/>
    <w:rsid w:val="00D42928"/>
    <w:rsid w:val="00D5151A"/>
    <w:rsid w:val="00D574F2"/>
    <w:rsid w:val="00D674C4"/>
    <w:rsid w:val="00D74A8B"/>
    <w:rsid w:val="00DA08CB"/>
    <w:rsid w:val="00DD31AA"/>
    <w:rsid w:val="00E23A6F"/>
    <w:rsid w:val="00E26105"/>
    <w:rsid w:val="00E9235B"/>
    <w:rsid w:val="00F37F3F"/>
    <w:rsid w:val="00F411EE"/>
    <w:rsid w:val="00FB781E"/>
    <w:rsid w:val="00F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E9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7E9C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F411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F41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6D73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73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D73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73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73D5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CB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1CD7"/>
  </w:style>
  <w:style w:type="paragraph" w:styleId="af">
    <w:name w:val="footer"/>
    <w:basedOn w:val="a"/>
    <w:link w:val="af0"/>
    <w:uiPriority w:val="99"/>
    <w:unhideWhenUsed/>
    <w:rsid w:val="00CB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1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E9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7E9C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F411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F411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6D73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D73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D73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D73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D73D5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CB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1CD7"/>
  </w:style>
  <w:style w:type="paragraph" w:styleId="af">
    <w:name w:val="footer"/>
    <w:basedOn w:val="a"/>
    <w:link w:val="af0"/>
    <w:uiPriority w:val="99"/>
    <w:unhideWhenUsed/>
    <w:rsid w:val="00CB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B1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A659D-7A51-4123-A0B5-82BB8671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Крамар Анастасія Павлівна</dc:creator>
  <cp:lastModifiedBy>Пользователь Windows</cp:lastModifiedBy>
  <cp:revision>2</cp:revision>
  <cp:lastPrinted>2021-04-05T14:01:00Z</cp:lastPrinted>
  <dcterms:created xsi:type="dcterms:W3CDTF">2021-04-12T12:30:00Z</dcterms:created>
  <dcterms:modified xsi:type="dcterms:W3CDTF">2021-04-12T12:30:00Z</dcterms:modified>
</cp:coreProperties>
</file>